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93C5" w14:textId="4117149F" w:rsidR="004B374A" w:rsidRPr="00262C66" w:rsidRDefault="004B374A">
      <w:pPr>
        <w:pStyle w:val="Tijeloteksta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Tijeloteksta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Tijeloteksta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Tijeloteksta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4D3413BB" w:rsidR="004B374A" w:rsidRPr="00262C66" w:rsidRDefault="00CF69D7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Darko </w:t>
            </w:r>
            <w:r w:rsidR="004E5B70">
              <w:rPr>
                <w:rFonts w:ascii="Arial" w:hAnsi="Arial" w:cs="Arial"/>
                <w:sz w:val="20"/>
              </w:rPr>
              <w:t>Preiner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7A49F13B" w:rsidR="004B374A" w:rsidRPr="00262C66" w:rsidRDefault="00CF69D7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Sveučilište u Zagrebu Agronomski fakultet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5886B8A6" w:rsidR="004B374A" w:rsidRPr="00262C66" w:rsidRDefault="004E5B70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4E5B70">
              <w:rPr>
                <w:rFonts w:ascii="Arial" w:hAnsi="Arial" w:cs="Arial"/>
                <w:sz w:val="20"/>
              </w:rPr>
              <w:t>Primjena metabolomike, fenotipizacije visoke propusnosti i molekularnih markera u ranoj selekciji na otpornost na bolesti kod razvoja novih sorata vinove loze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153FDC62" w:rsidR="004B374A" w:rsidRPr="00262C66" w:rsidRDefault="004E5B70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Darko Preiner</w:t>
            </w:r>
            <w:r w:rsidR="00CF69D7">
              <w:rPr>
                <w:rFonts w:ascii="Arial" w:hAnsi="Arial" w:cs="Arial"/>
                <w:sz w:val="20"/>
              </w:rPr>
              <w:t>, d</w:t>
            </w:r>
            <w:r>
              <w:rPr>
                <w:rFonts w:ascii="Arial" w:hAnsi="Arial" w:cs="Arial"/>
                <w:sz w:val="20"/>
              </w:rPr>
              <w:t>preiner</w:t>
            </w:r>
            <w:r w:rsidR="00CF69D7">
              <w:rPr>
                <w:rFonts w:ascii="Arial" w:hAnsi="Arial" w:cs="Arial"/>
                <w:sz w:val="20"/>
              </w:rPr>
              <w:t>@agr.hr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D03C450" w14:textId="0D0C39E6" w:rsidR="004B374A" w:rsidRDefault="004E5B70" w:rsidP="001A79EF">
            <w:pPr>
              <w:pStyle w:val="TableParagraph"/>
              <w:tabs>
                <w:tab w:val="left" w:pos="270"/>
              </w:tabs>
              <w:spacing w:line="245" w:lineRule="auto"/>
              <w:ind w:left="128" w:right="10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Podaci koji će se prikupiti tijekom projekta odnose se na: </w:t>
            </w:r>
          </w:p>
          <w:p w14:paraId="0DB3E1C2" w14:textId="1508E2E4" w:rsidR="00CF69D7" w:rsidRPr="001A79EF" w:rsidRDefault="004E5B70" w:rsidP="001A79E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5" w:lineRule="auto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Podaci vezani uz rezultate primjene molekularnih (DNA) markera za identifikaciju gen lokusa za otpornost na bolesti – radi se o veličinama fragmenata koji će biti generirani i pohranjeni u .xlsx formatu</w:t>
            </w:r>
            <w:r w:rsidR="000B2FBC">
              <w:rPr>
                <w:rFonts w:ascii="Open Sans" w:hAnsi="Open Sans" w:cs="Open Sans"/>
                <w:sz w:val="20"/>
                <w:szCs w:val="20"/>
              </w:rPr>
              <w:t>. Očekuje se podatke za cca. 500+ genotipova veličine datoteka do 50 MB</w:t>
            </w:r>
          </w:p>
          <w:p w14:paraId="1DD78210" w14:textId="4F68FC90" w:rsidR="00CF69D7" w:rsidRPr="001A79EF" w:rsidRDefault="00CF69D7" w:rsidP="001A79E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5" w:lineRule="auto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Podaci vezani uz </w:t>
            </w:r>
            <w:r w:rsidR="004E5B70">
              <w:rPr>
                <w:rFonts w:ascii="Open Sans" w:hAnsi="Open Sans" w:cs="Open Sans"/>
                <w:sz w:val="20"/>
                <w:szCs w:val="20"/>
              </w:rPr>
              <w:t xml:space="preserve">rezultate </w:t>
            </w:r>
            <w:r w:rsidR="000B2FBC">
              <w:rPr>
                <w:rFonts w:ascii="Open Sans" w:hAnsi="Open Sans" w:cs="Open Sans"/>
                <w:sz w:val="20"/>
                <w:szCs w:val="20"/>
              </w:rPr>
              <w:t>metabolomičkih</w:t>
            </w:r>
            <w:r w:rsidR="004E5B70">
              <w:rPr>
                <w:rFonts w:ascii="Open Sans" w:hAnsi="Open Sans" w:cs="Open Sans"/>
                <w:sz w:val="20"/>
                <w:szCs w:val="20"/>
              </w:rPr>
              <w:t xml:space="preserve"> analiza – površine pikova za hlapljive organske spojeve i sadržaj za polifenola biti će generirani i pohranjeni u .xlsx formatu</w:t>
            </w:r>
            <w:r w:rsidR="000B2FBC">
              <w:rPr>
                <w:rFonts w:ascii="Open Sans" w:hAnsi="Open Sans" w:cs="Open Sans"/>
                <w:sz w:val="20"/>
                <w:szCs w:val="20"/>
              </w:rPr>
              <w:t>, za 300+ uzoraka po analizi, veličina datoteke do  50 MB</w:t>
            </w:r>
          </w:p>
          <w:p w14:paraId="579C8847" w14:textId="657B73E4" w:rsidR="00CF69D7" w:rsidRDefault="004E5B70" w:rsidP="001A79E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5" w:lineRule="auto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Podaci vezani uz fenotipizaciju visoke propusnosti – multispektralnih snimanja biti će generirani i pohranjeni u .xlsx formatu </w:t>
            </w:r>
            <w:r w:rsidR="000B2FBC">
              <w:rPr>
                <w:rFonts w:ascii="Open Sans" w:hAnsi="Open Sans" w:cs="Open Sans"/>
                <w:sz w:val="20"/>
                <w:szCs w:val="20"/>
              </w:rPr>
              <w:t>podaci o 100+ uzoraka, veličina do 100 MB</w:t>
            </w:r>
          </w:p>
          <w:p w14:paraId="189D83A9" w14:textId="7762AC5C" w:rsidR="000B2FBC" w:rsidRPr="001A79EF" w:rsidRDefault="000B2FBC" w:rsidP="001A79E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5" w:lineRule="auto"/>
              <w:ind w:right="10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Podaci vezano uz fenotipizaciju: OIV deskriptori, stupanj zaraženosti, površine zaraženosti, koncentracija spora i sl. biti će generirani i pohranjeni u .xlsx formatu, za 500+ uzoraka, veličina datoteke do 50 MB </w:t>
            </w:r>
          </w:p>
          <w:p w14:paraId="71D50D98" w14:textId="66ED3FA8" w:rsidR="000B2FBC" w:rsidRDefault="000B2FBC" w:rsidP="000B2FBC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5" w:lineRule="auto"/>
              <w:ind w:right="104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Fotodokumentacija će biti generirana i pohranjena u .jpeg formatu, veličina svih datoteka do 50 GB</w:t>
            </w:r>
          </w:p>
          <w:p w14:paraId="35A18608" w14:textId="36AFF20A" w:rsidR="00615DE2" w:rsidRPr="001A79EF" w:rsidRDefault="00615DE2" w:rsidP="000B2FBC">
            <w:pPr>
              <w:pStyle w:val="TableParagraph"/>
              <w:tabs>
                <w:tab w:val="left" w:pos="270"/>
              </w:tabs>
              <w:spacing w:line="245" w:lineRule="auto"/>
              <w:ind w:left="0" w:right="104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374A" w:rsidRPr="00262C66" w14:paraId="5F223B8E" w14:textId="77777777" w:rsidTr="000B7E69">
        <w:trPr>
          <w:trHeight w:val="983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18D85C9D" w14:textId="0568B638" w:rsidR="00615DE2" w:rsidRPr="001A79EF" w:rsidRDefault="00615DE2" w:rsidP="00E85A54">
            <w:pPr>
              <w:pStyle w:val="TableParagraph"/>
              <w:tabs>
                <w:tab w:val="left" w:pos="270"/>
                <w:tab w:val="left" w:pos="411"/>
              </w:tabs>
              <w:spacing w:line="245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1.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ab/>
              <w:t xml:space="preserve">Datoteke će </w:t>
            </w:r>
            <w:r w:rsidR="00312B8B">
              <w:rPr>
                <w:rFonts w:ascii="Open Sans" w:hAnsi="Open Sans" w:cs="Open Sans"/>
                <w:sz w:val="20"/>
                <w:szCs w:val="20"/>
              </w:rPr>
              <w:t xml:space="preserve">biti 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>nazva</w:t>
            </w:r>
            <w:r w:rsidR="00312B8B">
              <w:rPr>
                <w:rFonts w:ascii="Open Sans" w:hAnsi="Open Sans" w:cs="Open Sans"/>
                <w:sz w:val="20"/>
                <w:szCs w:val="20"/>
              </w:rPr>
              <w:t>ne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 prema prije dogovorenim normama. Skup podataka pratit će i README dokumenti u kojima će se opisati hijerarhija direktorija. Svaki direktorij sadržavat će i INFO.txt datoteku u kojoj će se opisati korišteni eksperimentalni protokol. Također, zabilježit će se i odstupanja od protokola i ostale korisne informacije.</w:t>
            </w:r>
          </w:p>
          <w:p w14:paraId="390DE8A2" w14:textId="1D4DE64A" w:rsidR="00615DE2" w:rsidRPr="001A79EF" w:rsidRDefault="00615DE2" w:rsidP="00E85A54">
            <w:pPr>
              <w:pStyle w:val="TableParagraph"/>
              <w:tabs>
                <w:tab w:val="left" w:pos="270"/>
                <w:tab w:val="left" w:pos="411"/>
              </w:tabs>
              <w:spacing w:line="245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2.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ab/>
              <w:t xml:space="preserve"> Kvaliteta analitičkih podataka osigurat će se umjeravanjem instrumenata, ponavljanjem eksperimenata, usporedbom s literaturnim podacima/internim standardima/prije dobivenim podacima, recenziranjem. Za </w:t>
            </w:r>
            <w:r w:rsidR="00C54CDE">
              <w:rPr>
                <w:rFonts w:ascii="Open Sans" w:hAnsi="Open Sans" w:cs="Open Sans"/>
                <w:sz w:val="20"/>
                <w:szCs w:val="20"/>
              </w:rPr>
              <w:t>HPLC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>, GC-MS</w:t>
            </w:r>
            <w:r w:rsidR="00C72CAA">
              <w:rPr>
                <w:rFonts w:ascii="Open Sans" w:hAnsi="Open Sans" w:cs="Open Sans"/>
                <w:sz w:val="20"/>
                <w:szCs w:val="20"/>
              </w:rPr>
              <w:t xml:space="preserve"> i UHPC-MS/MS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 koristit će se laboratorijski standardizirani protokoli. U eksperimentima će biti uključen</w:t>
            </w:r>
            <w:r w:rsidR="00E85A5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 i odgovarajuć</w:t>
            </w:r>
            <w:r w:rsidR="00E85A5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 kontrol</w:t>
            </w:r>
            <w:r w:rsidR="00E85A5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>, čime će se osigurati valjanost podataka</w:t>
            </w:r>
          </w:p>
          <w:p w14:paraId="65A26CF6" w14:textId="77777777" w:rsidR="00615DE2" w:rsidRPr="001A79EF" w:rsidRDefault="00615DE2" w:rsidP="001A79EF">
            <w:pPr>
              <w:pStyle w:val="TableParagraph"/>
              <w:spacing w:line="245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3.  Ponavljanjem eksperimenata osigurat će se kvaliteta zapažanja i njihova evidencija. Opažanja i zapisi eksperimenata bit će digitalizirani skeniranjem iz ručno pisanih zapisa (dnevnika eksperimenta). Svi važni detalji pokusa bit će slikani te slike pohranjene u depozitoriju projekta</w:t>
            </w:r>
          </w:p>
          <w:p w14:paraId="48E6F3C2" w14:textId="5BF0D6C1" w:rsidR="004B374A" w:rsidRPr="001A79EF" w:rsidRDefault="00615DE2" w:rsidP="000B7E69">
            <w:pPr>
              <w:pStyle w:val="TableParagraph"/>
              <w:spacing w:line="245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Povremeno će se provesti kontrole kvalitete procesa da bi se uklonile pogreške i stvaranje nepotrebnih podataka. Pod pogreškom smatra se neispravno rukovanje </w:t>
            </w:r>
            <w:r w:rsidR="000B7E69">
              <w:rPr>
                <w:rFonts w:ascii="Open Sans" w:hAnsi="Open Sans" w:cs="Open Sans"/>
                <w:sz w:val="20"/>
                <w:szCs w:val="20"/>
              </w:rPr>
              <w:t xml:space="preserve">uređajem 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te kvar na </w:t>
            </w:r>
            <w:r w:rsidR="000B7E69">
              <w:rPr>
                <w:rFonts w:ascii="Open Sans" w:hAnsi="Open Sans" w:cs="Open Sans"/>
                <w:sz w:val="20"/>
                <w:szCs w:val="20"/>
              </w:rPr>
              <w:t>uređaju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>. Svaki postupak kontrole kvalitete će se dokumentirati.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metapodatke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B5718A4" w14:textId="1A562318" w:rsidR="00615DE2" w:rsidRPr="001A79EF" w:rsidRDefault="000B2FBC" w:rsidP="00A12532">
            <w:pPr>
              <w:pStyle w:val="TableParagraph"/>
              <w:spacing w:line="245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="00615DE2" w:rsidRPr="001A79EF">
              <w:rPr>
                <w:rFonts w:ascii="Open Sans" w:hAnsi="Open Sans" w:cs="Open Sans"/>
                <w:sz w:val="20"/>
                <w:szCs w:val="20"/>
              </w:rPr>
              <w:t xml:space="preserve">etapodaci će se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temeljiti </w:t>
            </w:r>
            <w:r w:rsidR="00615DE2" w:rsidRPr="001A79EF">
              <w:rPr>
                <w:rFonts w:ascii="Open Sans" w:hAnsi="Open Sans" w:cs="Open Sans"/>
                <w:sz w:val="20"/>
                <w:szCs w:val="20"/>
              </w:rPr>
              <w:t>na općenitoj shemi koju koristi Zendo, a koja uključuje sljedeće elemente:</w:t>
            </w:r>
          </w:p>
          <w:p w14:paraId="27590041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naziv: slobodni tekst</w:t>
            </w:r>
          </w:p>
          <w:p w14:paraId="1C6B8BB1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stvaratelj: prezime, ime</w:t>
            </w:r>
          </w:p>
          <w:p w14:paraId="64DAC31D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datum</w:t>
            </w:r>
          </w:p>
          <w:p w14:paraId="377C2A1E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tema: izbor ključnih riječi i klasifikacija</w:t>
            </w:r>
          </w:p>
          <w:p w14:paraId="3168A108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opis: tekst koji opisuje sadržaj podataka i ostale dodatne informacije</w:t>
            </w:r>
          </w:p>
          <w:p w14:paraId="15F68B79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opis: što je potrebno za interpretaciju podataka</w:t>
            </w:r>
          </w:p>
          <w:p w14:paraId="2E515316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format: detalji formata</w:t>
            </w:r>
          </w:p>
          <w:p w14:paraId="00ED3A54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vrsta izvora: skup podataka, slike, audio itd.</w:t>
            </w:r>
          </w:p>
          <w:p w14:paraId="27E358FF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• identifikator: DOI</w:t>
            </w:r>
          </w:p>
          <w:p w14:paraId="57D9F61E" w14:textId="77777777" w:rsidR="00615DE2" w:rsidRPr="001A79EF" w:rsidRDefault="00615DE2" w:rsidP="001A79EF">
            <w:pPr>
              <w:pStyle w:val="TableParagraph"/>
              <w:spacing w:line="245" w:lineRule="auto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• pravo pristupa: ograničeni pristup </w:t>
            </w:r>
          </w:p>
          <w:p w14:paraId="006630D9" w14:textId="5E5FE91F" w:rsidR="004B374A" w:rsidRPr="001A79EF" w:rsidRDefault="00615DE2" w:rsidP="00A12532">
            <w:pPr>
              <w:pStyle w:val="TableParagraph"/>
              <w:spacing w:line="245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Također, datoteka README.txt će se koristiti  kao uhodani način za sve datoteke i mape koje obuhvaćaju projekt objašnjavajući kako su svi skupovi datoteka međusobno povezani, u kojem su formatu, te jesu li određene datoteke namijenjene zamjeni ostalih datoteka.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>metode anonimizacije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12E763B3" w14:textId="77777777" w:rsidR="004B374A" w:rsidRPr="001A79EF" w:rsidRDefault="004B374A" w:rsidP="001A79EF">
            <w:pPr>
              <w:pStyle w:val="TableParagraph"/>
              <w:spacing w:before="5" w:line="245" w:lineRule="auto"/>
              <w:ind w:left="108"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043029A" w14:textId="77777777" w:rsidR="00615DE2" w:rsidRPr="001A79EF" w:rsidRDefault="00615DE2" w:rsidP="001A79EF">
            <w:pPr>
              <w:pStyle w:val="TableParagraph"/>
              <w:spacing w:before="5" w:line="245" w:lineRule="auto"/>
              <w:ind w:left="108"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8E6CB65" w14:textId="77777777" w:rsidR="00615DE2" w:rsidRPr="001A79EF" w:rsidRDefault="00615DE2" w:rsidP="001A79EF">
            <w:pPr>
              <w:pStyle w:val="TableParagraph"/>
              <w:spacing w:before="5" w:line="245" w:lineRule="auto"/>
              <w:ind w:left="108"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4630413" w14:textId="77777777" w:rsidR="00615DE2" w:rsidRPr="001A79EF" w:rsidRDefault="00615DE2" w:rsidP="001A79EF">
            <w:pPr>
              <w:pStyle w:val="TableParagraph"/>
              <w:spacing w:before="5" w:line="245" w:lineRule="auto"/>
              <w:ind w:left="108"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C5CD44D" w14:textId="77777777" w:rsidR="00615DE2" w:rsidRPr="001A79EF" w:rsidRDefault="00615DE2" w:rsidP="001A79EF">
            <w:pPr>
              <w:pStyle w:val="TableParagraph"/>
              <w:spacing w:before="5" w:line="245" w:lineRule="auto"/>
              <w:ind w:left="108"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774F1434" w14:textId="77777777" w:rsidR="00615DE2" w:rsidRPr="001A79EF" w:rsidRDefault="00615DE2" w:rsidP="001A79EF">
            <w:pPr>
              <w:pStyle w:val="TableParagraph"/>
              <w:spacing w:before="5" w:line="245" w:lineRule="auto"/>
              <w:ind w:left="108"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7A1A995" w14:textId="51A947EF" w:rsidR="00615DE2" w:rsidRPr="001A79EF" w:rsidRDefault="00615DE2" w:rsidP="001A79EF">
            <w:pPr>
              <w:pStyle w:val="TableParagraph"/>
              <w:spacing w:before="5" w:line="245" w:lineRule="auto"/>
              <w:ind w:left="108"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Pri izvedbi projekta neće se kršiti etička načela.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2EE865E7" w:rsidR="004B374A" w:rsidRPr="001A79EF" w:rsidRDefault="00466234" w:rsidP="00A12532">
            <w:pPr>
              <w:pStyle w:val="TableParagraph"/>
              <w:spacing w:before="2" w:line="245" w:lineRule="auto"/>
              <w:ind w:left="108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 ovom istraživanju ne planiraju se generirati osjetljivi podaci</w:t>
            </w:r>
            <w:r w:rsidR="00313CC9">
              <w:rPr>
                <w:rFonts w:ascii="Open Sans" w:hAnsi="Open Sans" w:cs="Open Sans"/>
                <w:sz w:val="20"/>
                <w:szCs w:val="20"/>
              </w:rPr>
              <w:t xml:space="preserve">. Pristup podacima biti će omogućen ovlaštenim članovima projektnog tima preko cloud servisa za zajednički pristup. Back-up podataka održavati će se redovito na vanjskom tvrdnom-disku odgovarajućeg kapaciteta. 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48F22DF5" w14:textId="59886DCE" w:rsidR="00313CC9" w:rsidRDefault="00313CC9" w:rsidP="001A79EF">
            <w:pPr>
              <w:pStyle w:val="TableParagraph"/>
              <w:spacing w:before="2" w:line="245" w:lineRule="auto"/>
              <w:ind w:left="108"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Ne postoje rezultati ovog projekta za koje se očekuje potreba zaštite vezano uz autorsko ili drugo intelektualno pravo, posebno nakon publiciranja u znanstvenim časopisima otvorenog pristupa. </w:t>
            </w:r>
          </w:p>
          <w:p w14:paraId="24EEC08B" w14:textId="7C4296B2" w:rsidR="004B374A" w:rsidRPr="001A79EF" w:rsidRDefault="00615DE2" w:rsidP="00313CC9">
            <w:pPr>
              <w:pStyle w:val="TableParagraph"/>
              <w:spacing w:before="2" w:line="245" w:lineRule="auto"/>
              <w:ind w:left="108" w:right="9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Eventualni ostali problemi intelektualnog vlasništva će se rješavati prema preporukama Agronomskog fakulteta u Zagrebu, odnosno smjernicama Sveučilišta u Zagrebu. Podaci i rezultati će biti prikladni za dijeljenje</w:t>
            </w:r>
            <w:r w:rsidR="00313CC9">
              <w:rPr>
                <w:rFonts w:ascii="Open Sans" w:hAnsi="Open Sans" w:cs="Open Sans"/>
                <w:sz w:val="20"/>
                <w:szCs w:val="20"/>
              </w:rPr>
              <w:t xml:space="preserve"> i otvoreni pristup. Neće se prikupljati osobni podaci. 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1FC9CD8A" w14:textId="4EF6EEC4" w:rsidR="00615DE2" w:rsidRPr="001A79EF" w:rsidRDefault="00615DE2" w:rsidP="00A12532">
            <w:pPr>
              <w:pStyle w:val="TableParagraph"/>
              <w:spacing w:before="2" w:line="245" w:lineRule="auto"/>
              <w:ind w:left="10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Podaci će se tijekom istraživanja s računala glavnog istraživača kopirati u nacionalni sustav za pohranu i  dijeljenje podatka Puh (https://www.srce.unizg.hr/puh) koji članovima projektnog tima omogućava pristup aktualnoj verziji podataka i na kojem se dnevno automatizirano izrađuje sigurnosna kopija podataka. </w:t>
            </w:r>
          </w:p>
          <w:p w14:paraId="4CD6A807" w14:textId="76D2AD2F" w:rsidR="004B374A" w:rsidRPr="001A79EF" w:rsidRDefault="00615DE2" w:rsidP="00313CC9">
            <w:pPr>
              <w:pStyle w:val="TableParagraph"/>
              <w:spacing w:before="2" w:line="245" w:lineRule="auto"/>
              <w:ind w:left="10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Uz navedeno sigurnosna kopija svih podataka će se nalaziti </w:t>
            </w:r>
            <w:r w:rsidR="00313CC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 na računalu glavnog istraživača</w:t>
            </w:r>
            <w:r w:rsidR="00313CC9">
              <w:rPr>
                <w:rFonts w:ascii="Open Sans" w:hAnsi="Open Sans" w:cs="Open Sans"/>
                <w:sz w:val="20"/>
                <w:szCs w:val="20"/>
              </w:rPr>
              <w:t xml:space="preserve">. Ukupna očekivana količina podataka koja će se prikupiti i čuvati je do 200 GB. 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15108890" w14:textId="0B21BEBD" w:rsidR="004B374A" w:rsidRPr="001A79EF" w:rsidRDefault="001A79EF" w:rsidP="00803739">
            <w:pPr>
              <w:pStyle w:val="TableParagraph"/>
              <w:spacing w:line="245" w:lineRule="auto"/>
              <w:ind w:left="10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Tablični podaci čuvat će se u CSV obliku, a tekstualne u DOCX (Office Open XML). Slikovni podaci čuvat će se u jpeg formatu. </w:t>
            </w:r>
            <w:r w:rsidR="00313CC9">
              <w:rPr>
                <w:rFonts w:ascii="Open Sans" w:hAnsi="Open Sans" w:cs="Open Sans"/>
                <w:sz w:val="20"/>
                <w:szCs w:val="20"/>
              </w:rPr>
              <w:t>Ukupna količina podataka koji će se dugoročno čuvati biti će oko 100 GB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1A79EF">
            <w:pPr>
              <w:pStyle w:val="TableParagraph"/>
              <w:spacing w:line="245" w:lineRule="auto"/>
              <w:ind w:left="108" w:right="10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5309BEC6" w:rsidR="004B374A" w:rsidRPr="001A79EF" w:rsidRDefault="001A79EF" w:rsidP="001A79EF">
            <w:pPr>
              <w:pStyle w:val="TableParagraph"/>
              <w:spacing w:line="245" w:lineRule="auto"/>
              <w:ind w:left="10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Konačnu verziju skupa podatka voditelj projekta podijelit će putem institucijskog repozitorija Sveučilišta u Zagrebu Agronomskog fakulteta uspostavljenog u nacionalnom sustavu Dabar</w:t>
            </w:r>
            <w:r w:rsidR="00803739">
              <w:t xml:space="preserve"> (</w:t>
            </w:r>
            <w:hyperlink r:id="rId7" w:history="1">
              <w:r w:rsidR="00803739" w:rsidRPr="007375E9">
                <w:rPr>
                  <w:rStyle w:val="Hiperveza"/>
                  <w:rFonts w:ascii="Open Sans" w:hAnsi="Open Sans" w:cs="Open Sans"/>
                  <w:sz w:val="20"/>
                  <w:szCs w:val="20"/>
                </w:rPr>
                <w:t>https://dabar.srce.hr/repozitoriji</w:t>
              </w:r>
            </w:hyperlink>
            <w:r w:rsidR="00803739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 w:rsidRPr="001A79EF">
              <w:rPr>
                <w:rFonts w:ascii="Open Sans" w:hAnsi="Open Sans" w:cs="Open Sans"/>
                <w:sz w:val="20"/>
                <w:szCs w:val="20"/>
              </w:rPr>
              <w:t xml:space="preserve">gdje će biti pohranjene i publikacije i ostala projektna dokumentacija. Podaci će biti objavljeni pod CC0 licencom. Institucijski repozitorij u sustavu Dabar odabran je jer podržava FAIR principe: skupovima dodjeljuje trajni identifikator URN:NBN, osigurava vidljivost podataka putem OpenAIRE portala i Google Scholara te tražilice dabar.srce.hr, a ujedno doprinosi vidljivosti i transparentnosti rada Sveučilišta u Zagrebu Agronomskog fakulteta. </w:t>
            </w:r>
            <w:r w:rsidR="00313CC9">
              <w:rPr>
                <w:rFonts w:ascii="Open Sans" w:hAnsi="Open Sans" w:cs="Open Sans"/>
                <w:sz w:val="20"/>
                <w:szCs w:val="20"/>
              </w:rPr>
              <w:t xml:space="preserve">Dio podataka biti će uključen u znanstvene publikacije kako supplement materijali kako bi korisnici što lakše pristupili i koristili iste. 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66FD5720" w:rsidR="004B374A" w:rsidRPr="001A79EF" w:rsidRDefault="00175206" w:rsidP="001A79EF">
            <w:pPr>
              <w:pStyle w:val="TableParagraph"/>
              <w:spacing w:before="2" w:line="245" w:lineRule="auto"/>
              <w:ind w:left="10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Ne postoje podaci koji se ne smiju dijeliti, a koji bi nastali u sklopu ovog projekta. 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359918C7" w:rsidR="004B374A" w:rsidRPr="001A79EF" w:rsidRDefault="001A79EF" w:rsidP="001A79EF">
            <w:pPr>
              <w:pStyle w:val="TableParagraph"/>
              <w:spacing w:before="2" w:line="245" w:lineRule="auto"/>
              <w:ind w:left="108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Potvrđujem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70C9EC8" w14:textId="77777777" w:rsidR="00A12532" w:rsidRDefault="00A12532" w:rsidP="001A79EF">
            <w:pPr>
              <w:pStyle w:val="TableParagraph"/>
              <w:spacing w:before="2" w:line="245" w:lineRule="auto"/>
              <w:ind w:left="108"/>
              <w:rPr>
                <w:rFonts w:ascii="Open Sans" w:hAnsi="Open Sans" w:cs="Open Sans"/>
                <w:sz w:val="20"/>
                <w:szCs w:val="20"/>
              </w:rPr>
            </w:pPr>
          </w:p>
          <w:p w14:paraId="04EE9DD8" w14:textId="77777777" w:rsidR="00A12532" w:rsidRDefault="00A12532" w:rsidP="001A79EF">
            <w:pPr>
              <w:pStyle w:val="TableParagraph"/>
              <w:spacing w:before="2" w:line="245" w:lineRule="auto"/>
              <w:ind w:left="108"/>
              <w:rPr>
                <w:rFonts w:ascii="Open Sans" w:hAnsi="Open Sans" w:cs="Open Sans"/>
                <w:sz w:val="20"/>
                <w:szCs w:val="20"/>
              </w:rPr>
            </w:pPr>
          </w:p>
          <w:p w14:paraId="57B1A393" w14:textId="77777777" w:rsidR="00A12532" w:rsidRDefault="00A12532" w:rsidP="001A79EF">
            <w:pPr>
              <w:pStyle w:val="TableParagraph"/>
              <w:spacing w:before="2" w:line="245" w:lineRule="auto"/>
              <w:ind w:left="108"/>
              <w:rPr>
                <w:rFonts w:ascii="Open Sans" w:hAnsi="Open Sans" w:cs="Open Sans"/>
                <w:sz w:val="20"/>
                <w:szCs w:val="20"/>
              </w:rPr>
            </w:pPr>
          </w:p>
          <w:p w14:paraId="7D230BE6" w14:textId="512A1D44" w:rsidR="004B374A" w:rsidRPr="001A79EF" w:rsidRDefault="001A79EF" w:rsidP="001A79EF">
            <w:pPr>
              <w:pStyle w:val="TableParagraph"/>
              <w:spacing w:before="2" w:line="245" w:lineRule="auto"/>
              <w:ind w:left="108"/>
              <w:rPr>
                <w:rFonts w:ascii="Open Sans" w:hAnsi="Open Sans" w:cs="Open Sans"/>
                <w:sz w:val="20"/>
                <w:szCs w:val="20"/>
              </w:rPr>
            </w:pPr>
            <w:r w:rsidRPr="001A79EF">
              <w:rPr>
                <w:rFonts w:ascii="Open Sans" w:hAnsi="Open Sans" w:cs="Open Sans"/>
                <w:sz w:val="20"/>
                <w:szCs w:val="20"/>
              </w:rPr>
              <w:t>Potvrđujem</w:t>
            </w:r>
          </w:p>
        </w:tc>
      </w:tr>
    </w:tbl>
    <w:p w14:paraId="5BF3FF60" w14:textId="77777777" w:rsidR="004B374A" w:rsidRPr="00262C66" w:rsidRDefault="004B374A">
      <w:pPr>
        <w:pStyle w:val="Tijeloteksta"/>
        <w:rPr>
          <w:rFonts w:ascii="Arial" w:hAnsi="Arial" w:cs="Arial"/>
        </w:rPr>
      </w:pPr>
    </w:p>
    <w:sectPr w:rsidR="004B374A" w:rsidRPr="00262C66">
      <w:headerReference w:type="default" r:id="rId8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877B" w14:textId="77777777" w:rsidR="00AD63BB" w:rsidRDefault="00AD63BB" w:rsidP="008120C5">
      <w:r>
        <w:separator/>
      </w:r>
    </w:p>
  </w:endnote>
  <w:endnote w:type="continuationSeparator" w:id="0">
    <w:p w14:paraId="1CC91287" w14:textId="77777777" w:rsidR="00AD63BB" w:rsidRDefault="00AD63BB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96C6" w14:textId="77777777" w:rsidR="00AD63BB" w:rsidRDefault="00AD63BB" w:rsidP="008120C5">
      <w:r>
        <w:separator/>
      </w:r>
    </w:p>
  </w:footnote>
  <w:footnote w:type="continuationSeparator" w:id="0">
    <w:p w14:paraId="2CEFE360" w14:textId="77777777" w:rsidR="00AD63BB" w:rsidRDefault="00AD63BB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1FA8" w14:textId="19087418" w:rsidR="008120C5" w:rsidRDefault="004B1924" w:rsidP="004B1924">
    <w:pPr>
      <w:pStyle w:val="Zaglavlje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175206">
      <w:rPr>
        <w:rFonts w:ascii="Open Sans" w:hAnsi="Open Sans" w:cs="Open Sans"/>
        <w:sz w:val="20"/>
        <w:szCs w:val="20"/>
      </w:rPr>
      <w:t>VitiResist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FE433D5"/>
    <w:multiLevelType w:val="hybridMultilevel"/>
    <w:tmpl w:val="C8529F4A"/>
    <w:lvl w:ilvl="0" w:tplc="634E1200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8" w:hanging="360"/>
      </w:pPr>
    </w:lvl>
    <w:lvl w:ilvl="2" w:tplc="041A001B" w:tentative="1">
      <w:start w:val="1"/>
      <w:numFmt w:val="lowerRoman"/>
      <w:lvlText w:val="%3."/>
      <w:lvlJc w:val="right"/>
      <w:pPr>
        <w:ind w:left="1928" w:hanging="180"/>
      </w:pPr>
    </w:lvl>
    <w:lvl w:ilvl="3" w:tplc="041A000F" w:tentative="1">
      <w:start w:val="1"/>
      <w:numFmt w:val="decimal"/>
      <w:lvlText w:val="%4."/>
      <w:lvlJc w:val="left"/>
      <w:pPr>
        <w:ind w:left="2648" w:hanging="360"/>
      </w:pPr>
    </w:lvl>
    <w:lvl w:ilvl="4" w:tplc="041A0019" w:tentative="1">
      <w:start w:val="1"/>
      <w:numFmt w:val="lowerLetter"/>
      <w:lvlText w:val="%5."/>
      <w:lvlJc w:val="left"/>
      <w:pPr>
        <w:ind w:left="3368" w:hanging="360"/>
      </w:pPr>
    </w:lvl>
    <w:lvl w:ilvl="5" w:tplc="041A001B" w:tentative="1">
      <w:start w:val="1"/>
      <w:numFmt w:val="lowerRoman"/>
      <w:lvlText w:val="%6."/>
      <w:lvlJc w:val="right"/>
      <w:pPr>
        <w:ind w:left="4088" w:hanging="180"/>
      </w:pPr>
    </w:lvl>
    <w:lvl w:ilvl="6" w:tplc="041A000F" w:tentative="1">
      <w:start w:val="1"/>
      <w:numFmt w:val="decimal"/>
      <w:lvlText w:val="%7."/>
      <w:lvlJc w:val="left"/>
      <w:pPr>
        <w:ind w:left="4808" w:hanging="360"/>
      </w:pPr>
    </w:lvl>
    <w:lvl w:ilvl="7" w:tplc="041A0019" w:tentative="1">
      <w:start w:val="1"/>
      <w:numFmt w:val="lowerLetter"/>
      <w:lvlText w:val="%8."/>
      <w:lvlJc w:val="left"/>
      <w:pPr>
        <w:ind w:left="5528" w:hanging="360"/>
      </w:pPr>
    </w:lvl>
    <w:lvl w:ilvl="8" w:tplc="041A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968640A"/>
    <w:multiLevelType w:val="hybridMultilevel"/>
    <w:tmpl w:val="7E2034B6"/>
    <w:lvl w:ilvl="0" w:tplc="519649E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8" w:hanging="360"/>
      </w:pPr>
    </w:lvl>
    <w:lvl w:ilvl="2" w:tplc="041A001B" w:tentative="1">
      <w:start w:val="1"/>
      <w:numFmt w:val="lowerRoman"/>
      <w:lvlText w:val="%3."/>
      <w:lvlJc w:val="right"/>
      <w:pPr>
        <w:ind w:left="1928" w:hanging="180"/>
      </w:pPr>
    </w:lvl>
    <w:lvl w:ilvl="3" w:tplc="041A000F" w:tentative="1">
      <w:start w:val="1"/>
      <w:numFmt w:val="decimal"/>
      <w:lvlText w:val="%4."/>
      <w:lvlJc w:val="left"/>
      <w:pPr>
        <w:ind w:left="2648" w:hanging="360"/>
      </w:pPr>
    </w:lvl>
    <w:lvl w:ilvl="4" w:tplc="041A0019" w:tentative="1">
      <w:start w:val="1"/>
      <w:numFmt w:val="lowerLetter"/>
      <w:lvlText w:val="%5."/>
      <w:lvlJc w:val="left"/>
      <w:pPr>
        <w:ind w:left="3368" w:hanging="360"/>
      </w:pPr>
    </w:lvl>
    <w:lvl w:ilvl="5" w:tplc="041A001B" w:tentative="1">
      <w:start w:val="1"/>
      <w:numFmt w:val="lowerRoman"/>
      <w:lvlText w:val="%6."/>
      <w:lvlJc w:val="right"/>
      <w:pPr>
        <w:ind w:left="4088" w:hanging="180"/>
      </w:pPr>
    </w:lvl>
    <w:lvl w:ilvl="6" w:tplc="041A000F" w:tentative="1">
      <w:start w:val="1"/>
      <w:numFmt w:val="decimal"/>
      <w:lvlText w:val="%7."/>
      <w:lvlJc w:val="left"/>
      <w:pPr>
        <w:ind w:left="4808" w:hanging="360"/>
      </w:pPr>
    </w:lvl>
    <w:lvl w:ilvl="7" w:tplc="041A0019" w:tentative="1">
      <w:start w:val="1"/>
      <w:numFmt w:val="lowerLetter"/>
      <w:lvlText w:val="%8."/>
      <w:lvlJc w:val="left"/>
      <w:pPr>
        <w:ind w:left="5528" w:hanging="360"/>
      </w:pPr>
    </w:lvl>
    <w:lvl w:ilvl="8" w:tplc="041A001B" w:tentative="1">
      <w:start w:val="1"/>
      <w:numFmt w:val="lowerRoman"/>
      <w:lvlText w:val="%9."/>
      <w:lvlJc w:val="right"/>
      <w:pPr>
        <w:ind w:left="6248" w:hanging="180"/>
      </w:pPr>
    </w:lvl>
  </w:abstractNum>
  <w:num w:numId="1" w16cid:durableId="175658260">
    <w:abstractNumId w:val="2"/>
  </w:num>
  <w:num w:numId="2" w16cid:durableId="1447962842">
    <w:abstractNumId w:val="0"/>
  </w:num>
  <w:num w:numId="3" w16cid:durableId="265774769">
    <w:abstractNumId w:val="1"/>
  </w:num>
  <w:num w:numId="4" w16cid:durableId="565844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gUAVP5QASwAAAA="/>
  </w:docVars>
  <w:rsids>
    <w:rsidRoot w:val="004B374A"/>
    <w:rsid w:val="000A1225"/>
    <w:rsid w:val="000B2FBC"/>
    <w:rsid w:val="000B7E69"/>
    <w:rsid w:val="001413F3"/>
    <w:rsid w:val="00175206"/>
    <w:rsid w:val="001A79EF"/>
    <w:rsid w:val="001C4C38"/>
    <w:rsid w:val="001C4D5D"/>
    <w:rsid w:val="00215EB3"/>
    <w:rsid w:val="002611D7"/>
    <w:rsid w:val="00262C66"/>
    <w:rsid w:val="002700B9"/>
    <w:rsid w:val="00275D4E"/>
    <w:rsid w:val="002C415E"/>
    <w:rsid w:val="00312B8B"/>
    <w:rsid w:val="00313CC9"/>
    <w:rsid w:val="003330CC"/>
    <w:rsid w:val="0034257E"/>
    <w:rsid w:val="003D05F3"/>
    <w:rsid w:val="003D0DA9"/>
    <w:rsid w:val="00466234"/>
    <w:rsid w:val="004B1924"/>
    <w:rsid w:val="004B374A"/>
    <w:rsid w:val="004E5B70"/>
    <w:rsid w:val="004E706F"/>
    <w:rsid w:val="00604C99"/>
    <w:rsid w:val="00615DE2"/>
    <w:rsid w:val="006B4D7D"/>
    <w:rsid w:val="006F0787"/>
    <w:rsid w:val="0070097B"/>
    <w:rsid w:val="007311B1"/>
    <w:rsid w:val="007A0FF1"/>
    <w:rsid w:val="007B6AE5"/>
    <w:rsid w:val="007E576A"/>
    <w:rsid w:val="00803739"/>
    <w:rsid w:val="008120C5"/>
    <w:rsid w:val="00917D7A"/>
    <w:rsid w:val="00973600"/>
    <w:rsid w:val="00984811"/>
    <w:rsid w:val="009B19C6"/>
    <w:rsid w:val="00A12532"/>
    <w:rsid w:val="00A143F7"/>
    <w:rsid w:val="00A65B47"/>
    <w:rsid w:val="00AD63BB"/>
    <w:rsid w:val="00AE6EFD"/>
    <w:rsid w:val="00B225C7"/>
    <w:rsid w:val="00B607A2"/>
    <w:rsid w:val="00B96E45"/>
    <w:rsid w:val="00BA6320"/>
    <w:rsid w:val="00C35E7B"/>
    <w:rsid w:val="00C54CDE"/>
    <w:rsid w:val="00C72CAA"/>
    <w:rsid w:val="00C83D1E"/>
    <w:rsid w:val="00CE2CF9"/>
    <w:rsid w:val="00CF69D7"/>
    <w:rsid w:val="00DD28AE"/>
    <w:rsid w:val="00DD61C4"/>
    <w:rsid w:val="00E1431B"/>
    <w:rsid w:val="00E33DEE"/>
    <w:rsid w:val="00E85A54"/>
    <w:rsid w:val="00F414E0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erencakomentara">
    <w:name w:val="annotation reference"/>
    <w:basedOn w:val="Zadanifontodlomka"/>
    <w:uiPriority w:val="99"/>
    <w:semiHidden/>
    <w:unhideWhenUsed/>
    <w:rsid w:val="00E143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143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43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styleId="Hiperveza">
    <w:name w:val="Hyperlink"/>
    <w:basedOn w:val="Zadanifontodlomka"/>
    <w:uiPriority w:val="99"/>
    <w:unhideWhenUsed/>
    <w:rsid w:val="0080373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bar.srce.hr/repozitori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Ivana Tomaz</cp:lastModifiedBy>
  <cp:revision>6</cp:revision>
  <cp:lastPrinted>2022-05-23T08:12:00Z</cp:lastPrinted>
  <dcterms:created xsi:type="dcterms:W3CDTF">2022-10-03T20:38:00Z</dcterms:created>
  <dcterms:modified xsi:type="dcterms:W3CDTF">2022-10-04T13:15:00Z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  <property fmtid="{D5CDD505-2E9C-101B-9397-08002B2CF9AE}" pid="5" name="GrammarlyDocumentId">
    <vt:lpwstr>5eaed8250c5a65a03814df6ec63347ae8bfb4786dc832d8f799d3160a9e4db9c</vt:lpwstr>
  </property>
</Properties>
</file>